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both"/>
        <w:textAlignment w:val="auto"/>
        <w:rPr>
          <w:rFonts w:hint="eastAsia" w:ascii="仿宋_GB2312" w:hAnsi="仿宋_GB2312" w:eastAsia="仿宋_GB2312" w:cs="仿宋_GB2312"/>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spacing w:line="420" w:lineRule="auto"/>
        <w:ind w:left="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湖</w:t>
      </w:r>
      <w:r>
        <w:rPr>
          <w:rFonts w:hint="eastAsia" w:ascii="仿宋_GB2312" w:hAnsi="仿宋_GB2312" w:eastAsia="仿宋_GB2312" w:cs="仿宋_GB2312"/>
          <w:sz w:val="32"/>
          <w:szCs w:val="32"/>
        </w:rPr>
        <w:t>政</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024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号</w:t>
      </w:r>
    </w:p>
    <w:p>
      <w:pPr>
        <w:jc w:val="center"/>
        <w:rPr>
          <w:rFonts w:hint="eastAsia" w:ascii="方正小标宋简体" w:hAnsi="方正小标宋简体" w:eastAsia="方正小标宋简体" w:cs="方正小标宋简体"/>
          <w:sz w:val="32"/>
          <w:szCs w:val="32"/>
        </w:rPr>
      </w:pPr>
    </w:p>
    <w:p>
      <w:pPr>
        <w:keepNext w:val="0"/>
        <w:keepLines w:val="0"/>
        <w:pageBreakBefore w:val="0"/>
        <w:widowControl w:val="0"/>
        <w:kinsoku/>
        <w:wordWrap/>
        <w:overflowPunct/>
        <w:topLinePunct w:val="0"/>
        <w:autoSpaceDE/>
        <w:autoSpaceDN/>
        <w:bidi w:val="0"/>
        <w:adjustRightInd/>
        <w:spacing w:line="680" w:lineRule="exact"/>
        <w:ind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w:t>
      </w:r>
      <w:r>
        <w:rPr>
          <w:rFonts w:hint="eastAsia" w:ascii="方正小标宋简体" w:hAnsi="方正小标宋简体" w:eastAsia="方正小标宋简体" w:cs="方正小标宋简体"/>
          <w:sz w:val="44"/>
          <w:szCs w:val="44"/>
          <w:lang w:eastAsia="zh-CN"/>
        </w:rPr>
        <w:t>南昌</w:t>
      </w:r>
      <w:r>
        <w:rPr>
          <w:rFonts w:hint="eastAsia" w:ascii="方正小标宋简体" w:hAnsi="方正小标宋简体" w:eastAsia="方正小标宋简体" w:cs="方正小标宋简体"/>
          <w:sz w:val="44"/>
          <w:szCs w:val="44"/>
        </w:rPr>
        <w:t>县</w:t>
      </w:r>
      <w:r>
        <w:rPr>
          <w:rFonts w:hint="eastAsia" w:ascii="方正小标宋简体" w:hAnsi="方正小标宋简体" w:eastAsia="方正小标宋简体" w:cs="方正小标宋简体"/>
          <w:sz w:val="44"/>
          <w:szCs w:val="44"/>
          <w:lang w:val="en-US" w:eastAsia="zh-CN"/>
        </w:rPr>
        <w:t>八月湖街道</w:t>
      </w:r>
      <w:r>
        <w:rPr>
          <w:rFonts w:hint="eastAsia" w:ascii="方正小标宋简体" w:hAnsi="方正小标宋简体" w:eastAsia="方正小标宋简体" w:cs="方正小标宋简体"/>
          <w:sz w:val="44"/>
          <w:szCs w:val="44"/>
        </w:rPr>
        <w:t>承接县级审批服务执法权限目录》的通知</w:t>
      </w:r>
    </w:p>
    <w:p>
      <w:pPr>
        <w:pStyle w:val="9"/>
        <w:keepNext w:val="0"/>
        <w:keepLines w:val="0"/>
        <w:pageBreakBefore w:val="0"/>
        <w:widowControl w:val="0"/>
        <w:kinsoku/>
        <w:wordWrap/>
        <w:overflowPunct/>
        <w:topLinePunct w:val="0"/>
        <w:autoSpaceDE/>
        <w:autoSpaceDN/>
        <w:bidi w:val="0"/>
        <w:adjustRightInd/>
        <w:spacing w:line="680" w:lineRule="exact"/>
        <w:textAlignment w:val="auto"/>
        <w:rPr>
          <w:rFonts w:hint="eastAsia"/>
          <w:lang w:val="en-US" w:eastAsia="zh-CN"/>
        </w:rPr>
      </w:pPr>
    </w:p>
    <w:p>
      <w:pPr>
        <w:keepNext w:val="0"/>
        <w:keepLines w:val="0"/>
        <w:pageBreakBefore w:val="0"/>
        <w:widowControl w:val="0"/>
        <w:kinsoku/>
        <w:wordWrap/>
        <w:overflowPunct/>
        <w:topLinePunct w:val="0"/>
        <w:bidi w:val="0"/>
        <w:adjustRightInd/>
        <w:spacing w:line="560" w:lineRule="exact"/>
        <w:ind w:firstLine="0"/>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街道各部门</w:t>
      </w:r>
      <w:r>
        <w:rPr>
          <w:rFonts w:hint="eastAsia" w:ascii="仿宋_GB2312" w:hAnsi="仿宋" w:eastAsia="仿宋_GB2312" w:cs="仿宋"/>
          <w:sz w:val="32"/>
          <w:szCs w:val="32"/>
        </w:rPr>
        <w:t>：</w:t>
      </w:r>
    </w:p>
    <w:p>
      <w:pPr>
        <w:keepNext w:val="0"/>
        <w:keepLines w:val="0"/>
        <w:pageBreakBefore w:val="0"/>
        <w:widowControl w:val="0"/>
        <w:kinsoku/>
        <w:wordWrap/>
        <w:overflowPunct/>
        <w:topLinePunct w:val="0"/>
        <w:bidi w:val="0"/>
        <w:adjustRightIn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_GB2312" w:eastAsia="仿宋_GB2312" w:cs="仿宋_GB2312"/>
          <w:snapToGrid/>
          <w:kern w:val="32"/>
          <w:sz w:val="32"/>
          <w:szCs w:val="32"/>
        </w:rPr>
        <w:t>为认真贯彻落实</w:t>
      </w:r>
      <w:r>
        <w:rPr>
          <w:rFonts w:hint="eastAsia" w:ascii="仿宋_GB2312" w:hAnsi="仿宋" w:eastAsia="仿宋_GB2312" w:cs="仿宋"/>
          <w:sz w:val="32"/>
          <w:szCs w:val="32"/>
        </w:rPr>
        <w:t>《江西省人民政府关于调整赋予乡镇（街道）县级审批服务执法权限和经济发达镇县级经济社会管理权限指导目录的通知》</w:t>
      </w:r>
      <w:r>
        <w:rPr>
          <w:rFonts w:hint="eastAsia" w:ascii="仿宋_GB2312" w:hAnsi="仿宋_GB2312" w:eastAsia="仿宋_GB2312" w:cs="仿宋_GB2312"/>
          <w:snapToGrid/>
          <w:kern w:val="32"/>
          <w:sz w:val="32"/>
          <w:szCs w:val="32"/>
        </w:rPr>
        <w:t>（赣府发</w:t>
      </w:r>
      <w:r>
        <w:rPr>
          <w:rFonts w:hint="eastAsia" w:ascii="仿宋_GB2312" w:hAnsi="仿宋_GB2312" w:eastAsia="仿宋_GB2312" w:cs="仿宋_GB2312"/>
          <w:sz w:val="32"/>
          <w:szCs w:val="32"/>
        </w:rPr>
        <w:t>〔2021〕</w:t>
      </w:r>
      <w:r>
        <w:rPr>
          <w:rFonts w:hint="eastAsia" w:ascii="仿宋_GB2312" w:hAnsi="仿宋_GB2312" w:eastAsia="仿宋_GB2312" w:cs="仿宋_GB2312"/>
          <w:snapToGrid/>
          <w:kern w:val="32"/>
          <w:sz w:val="32"/>
          <w:szCs w:val="32"/>
        </w:rPr>
        <w:t>23号）、《江西省政务服务管理办公室关于调整部分乡镇（街道）和经济发达镇赋权事项的通知》（赣政务字</w:t>
      </w:r>
      <w:r>
        <w:rPr>
          <w:rFonts w:hint="eastAsia" w:ascii="仿宋_GB2312" w:hAnsi="仿宋_GB2312" w:eastAsia="仿宋_GB2312" w:cs="仿宋_GB2312"/>
          <w:sz w:val="32"/>
          <w:szCs w:val="32"/>
        </w:rPr>
        <w:t>〔2023〕</w:t>
      </w:r>
      <w:r>
        <w:rPr>
          <w:rFonts w:hint="eastAsia" w:ascii="仿宋_GB2312" w:hAnsi="仿宋_GB2312" w:eastAsia="仿宋_GB2312" w:cs="仿宋_GB2312"/>
          <w:snapToGrid/>
          <w:kern w:val="32"/>
          <w:sz w:val="32"/>
          <w:szCs w:val="32"/>
        </w:rPr>
        <w:t>1号）、</w:t>
      </w:r>
      <w:r>
        <w:rPr>
          <w:rFonts w:hint="eastAsia" w:ascii="仿宋_GB2312" w:hAnsi="仿宋_GB2312" w:eastAsia="仿宋_GB2312" w:cs="仿宋_GB2312"/>
          <w:sz w:val="32"/>
          <w:szCs w:val="32"/>
        </w:rPr>
        <w:t>《南昌市认领实施江西省赋予乡镇（街道）县级审批服务执法权限指导目录》（洪审改办发〔2024〕15号）</w:t>
      </w:r>
      <w:r>
        <w:rPr>
          <w:rFonts w:hint="eastAsia" w:ascii="仿宋_GB2312" w:hAnsi="仿宋_GB2312" w:eastAsia="仿宋_GB2312" w:cs="仿宋_GB2312"/>
          <w:snapToGrid/>
          <w:kern w:val="32"/>
          <w:sz w:val="32"/>
          <w:szCs w:val="32"/>
        </w:rPr>
        <w:t>文件精神，</w:t>
      </w:r>
      <w:r>
        <w:rPr>
          <w:rFonts w:hint="eastAsia" w:ascii="仿宋_GB2312" w:hAnsi="仿宋" w:eastAsia="仿宋_GB2312" w:cs="仿宋"/>
          <w:sz w:val="32"/>
          <w:szCs w:val="32"/>
        </w:rPr>
        <w:t>进一步深化“放管服”改革，完善基层管理和服务功能，推动政府治理体系和治理能力现代化，经研究，</w:t>
      </w:r>
      <w:r>
        <w:rPr>
          <w:rFonts w:hint="eastAsia" w:ascii="仿宋_GB2312" w:hAnsi="仿宋_GB2312" w:eastAsia="仿宋_GB2312" w:cs="仿宋_GB2312"/>
          <w:sz w:val="32"/>
          <w:szCs w:val="32"/>
        </w:rPr>
        <w:t>现将我</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梳理的《</w:t>
      </w:r>
      <w:r>
        <w:rPr>
          <w:rFonts w:hint="eastAsia" w:ascii="仿宋_GB2312" w:hAnsi="仿宋_GB2312" w:eastAsia="仿宋_GB2312" w:cs="仿宋_GB2312"/>
          <w:sz w:val="32"/>
          <w:szCs w:val="32"/>
          <w:lang w:eastAsia="zh-CN"/>
        </w:rPr>
        <w:t>南昌</w:t>
      </w:r>
      <w:r>
        <w:rPr>
          <w:rFonts w:hint="eastAsia" w:ascii="仿宋_GB2312" w:hAnsi="仿宋_GB2312" w:eastAsia="仿宋_GB2312" w:cs="仿宋_GB2312"/>
          <w:sz w:val="32"/>
          <w:szCs w:val="32"/>
        </w:rPr>
        <w:t>县</w:t>
      </w:r>
      <w:r>
        <w:rPr>
          <w:rFonts w:hint="eastAsia" w:ascii="仿宋_GB2312" w:hAnsi="仿宋" w:eastAsia="仿宋_GB2312" w:cs="仿宋"/>
          <w:sz w:val="32"/>
          <w:szCs w:val="32"/>
          <w:lang w:val="en-US" w:eastAsia="zh-CN"/>
        </w:rPr>
        <w:t>八月湖街道</w:t>
      </w:r>
      <w:r>
        <w:rPr>
          <w:rFonts w:hint="eastAsia" w:ascii="仿宋_GB2312" w:hAnsi="仿宋_GB2312" w:eastAsia="仿宋_GB2312" w:cs="仿宋_GB2312"/>
          <w:sz w:val="32"/>
          <w:szCs w:val="32"/>
        </w:rPr>
        <w:t>承接县级审批服务执法权限目录》予</w:t>
      </w:r>
      <w:r>
        <w:rPr>
          <w:rFonts w:hint="eastAsia" w:ascii="仿宋_GB2312" w:hAnsi="仿宋_GB2312" w:eastAsia="仿宋_GB2312" w:cs="仿宋_GB2312"/>
          <w:snapToGrid/>
          <w:kern w:val="32"/>
          <w:sz w:val="32"/>
          <w:szCs w:val="32"/>
        </w:rPr>
        <w:t>以公布实施。</w:t>
      </w:r>
    </w:p>
    <w:p>
      <w:pPr>
        <w:keepNext w:val="0"/>
        <w:keepLines w:val="0"/>
        <w:pageBreakBefore w:val="0"/>
        <w:widowControl w:val="0"/>
        <w:kinsoku/>
        <w:wordWrap/>
        <w:overflowPunct/>
        <w:topLinePunct w:val="0"/>
        <w:bidi w:val="0"/>
        <w:adjustRightIn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街道各部门</w:t>
      </w:r>
      <w:r>
        <w:rPr>
          <w:rFonts w:hint="eastAsia" w:ascii="仿宋_GB2312" w:hAnsi="仿宋" w:eastAsia="仿宋_GB2312" w:cs="仿宋"/>
          <w:sz w:val="32"/>
          <w:szCs w:val="32"/>
        </w:rPr>
        <w:t>要依法承担认领事项的审批责任，依法向社会公布后实施，同时切实提高承接能力和审批效率。</w:t>
      </w:r>
      <w:bookmarkStart w:id="0" w:name="_GoBack"/>
      <w:bookmarkEnd w:id="0"/>
    </w:p>
    <w:p>
      <w:pPr>
        <w:keepNext w:val="0"/>
        <w:keepLines w:val="0"/>
        <w:pageBreakBefore w:val="0"/>
        <w:widowControl w:val="0"/>
        <w:kinsoku/>
        <w:wordWrap/>
        <w:overflowPunct/>
        <w:topLinePunct w:val="0"/>
        <w:bidi w:val="0"/>
        <w:adjustRightInd/>
        <w:spacing w:line="560" w:lineRule="exact"/>
        <w:ind w:left="1598" w:leftChars="304" w:hanging="960" w:hangingChars="3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rPr>
        <w:t>附件</w:t>
      </w:r>
      <w:r>
        <w:rPr>
          <w:rFonts w:hint="eastAsia" w:ascii="仿宋_GB2312" w:hAnsi="仿宋" w:eastAsia="仿宋_GB2312" w:cs="仿宋"/>
          <w:sz w:val="32"/>
          <w:szCs w:val="32"/>
          <w:lang w:eastAsia="zh-CN"/>
        </w:rPr>
        <w:t>：南昌</w:t>
      </w:r>
      <w:r>
        <w:rPr>
          <w:rFonts w:hint="eastAsia" w:ascii="仿宋_GB2312" w:hAnsi="仿宋" w:eastAsia="仿宋_GB2312" w:cs="仿宋"/>
          <w:sz w:val="32"/>
          <w:szCs w:val="32"/>
        </w:rPr>
        <w:t>县</w:t>
      </w:r>
      <w:r>
        <w:rPr>
          <w:rFonts w:hint="eastAsia" w:ascii="仿宋_GB2312" w:hAnsi="仿宋" w:eastAsia="仿宋_GB2312" w:cs="仿宋"/>
          <w:sz w:val="32"/>
          <w:szCs w:val="32"/>
          <w:lang w:val="en-US" w:eastAsia="zh-CN"/>
        </w:rPr>
        <w:t>八月湖街道</w:t>
      </w:r>
      <w:r>
        <w:rPr>
          <w:rFonts w:hint="eastAsia" w:ascii="仿宋_GB2312" w:hAnsi="仿宋" w:eastAsia="仿宋_GB2312" w:cs="仿宋"/>
          <w:sz w:val="32"/>
          <w:szCs w:val="32"/>
        </w:rPr>
        <w:t>承接县级审批服务执法权限目录</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84项</w:t>
      </w:r>
      <w:r>
        <w:rPr>
          <w:rFonts w:hint="eastAsia" w:ascii="仿宋_GB2312" w:hAnsi="仿宋" w:eastAsia="仿宋_GB2312" w:cs="仿宋"/>
          <w:sz w:val="32"/>
          <w:szCs w:val="32"/>
          <w:lang w:eastAsia="zh-CN"/>
        </w:rPr>
        <w:t>）</w:t>
      </w:r>
    </w:p>
    <w:p>
      <w:pPr>
        <w:keepNext w:val="0"/>
        <w:keepLines w:val="0"/>
        <w:pageBreakBefore w:val="0"/>
        <w:widowControl w:val="0"/>
        <w:tabs>
          <w:tab w:val="left" w:pos="1442"/>
        </w:tabs>
        <w:kinsoku/>
        <w:wordWrap/>
        <w:overflowPunct/>
        <w:topLinePunct w:val="0"/>
        <w:autoSpaceDE w:val="0"/>
        <w:autoSpaceDN w:val="0"/>
        <w:bidi w:val="0"/>
        <w:adjustRightInd/>
        <w:snapToGrid w:val="0"/>
        <w:spacing w:line="560" w:lineRule="exact"/>
        <w:ind w:firstLine="640" w:firstLineChars="200"/>
        <w:jc w:val="both"/>
        <w:textAlignment w:val="auto"/>
        <w:rPr>
          <w:rFonts w:hint="eastAsia" w:ascii="仿宋_GB2312" w:hAnsi="仿宋_GB2312" w:eastAsia="仿宋_GB2312" w:cs="仿宋_GB2312"/>
          <w:snapToGrid w:val="0"/>
          <w:sz w:val="32"/>
          <w:szCs w:val="32"/>
          <w:lang w:val="en-US" w:eastAsia="zh-CN" w:bidi="ar-SA"/>
        </w:rPr>
      </w:pPr>
    </w:p>
    <w:p>
      <w:pPr>
        <w:keepNext w:val="0"/>
        <w:keepLines w:val="0"/>
        <w:pageBreakBefore w:val="0"/>
        <w:widowControl w:val="0"/>
        <w:tabs>
          <w:tab w:val="left" w:pos="1442"/>
        </w:tabs>
        <w:kinsoku/>
        <w:wordWrap/>
        <w:overflowPunct/>
        <w:topLinePunct w:val="0"/>
        <w:autoSpaceDE w:val="0"/>
        <w:autoSpaceDN w:val="0"/>
        <w:bidi w:val="0"/>
        <w:adjustRightInd/>
        <w:snapToGrid w:val="0"/>
        <w:spacing w:line="560" w:lineRule="exact"/>
        <w:jc w:val="both"/>
        <w:textAlignment w:val="auto"/>
        <w:rPr>
          <w:rFonts w:hint="eastAsia" w:ascii="仿宋_GB2312" w:hAnsi="仿宋_GB2312" w:eastAsia="仿宋_GB2312" w:cs="仿宋_GB2312"/>
          <w:snapToGrid w:val="0"/>
          <w:color w:val="auto"/>
          <w:sz w:val="32"/>
          <w:szCs w:val="32"/>
          <w:highlight w:val="none"/>
          <w:lang w:val="en-US" w:eastAsia="zh-CN" w:bidi="ar-SA"/>
        </w:rPr>
      </w:pPr>
      <w:r>
        <w:rPr>
          <w:rFonts w:hint="eastAsia" w:ascii="仿宋_GB2312" w:hAnsi="仿宋_GB2312" w:eastAsia="仿宋_GB2312" w:cs="仿宋_GB2312"/>
          <w:snapToGrid w:val="0"/>
          <w:color w:val="auto"/>
          <w:sz w:val="32"/>
          <w:szCs w:val="32"/>
          <w:highlight w:val="none"/>
          <w:lang w:val="en-US" w:eastAsia="zh-CN" w:bidi="ar-SA"/>
        </w:rPr>
        <w:t xml:space="preserve">                 </w:t>
      </w:r>
    </w:p>
    <w:p>
      <w:pPr>
        <w:keepNext w:val="0"/>
        <w:keepLines w:val="0"/>
        <w:pageBreakBefore w:val="0"/>
        <w:widowControl w:val="0"/>
        <w:tabs>
          <w:tab w:val="left" w:pos="1442"/>
        </w:tabs>
        <w:kinsoku/>
        <w:wordWrap/>
        <w:overflowPunct/>
        <w:topLinePunct w:val="0"/>
        <w:autoSpaceDE w:val="0"/>
        <w:autoSpaceDN w:val="0"/>
        <w:bidi w:val="0"/>
        <w:adjustRightInd/>
        <w:snapToGrid w:val="0"/>
        <w:spacing w:line="560" w:lineRule="exact"/>
        <w:ind w:left="1386" w:leftChars="200" w:hanging="966" w:hangingChars="302"/>
        <w:jc w:val="center"/>
        <w:textAlignment w:val="auto"/>
        <w:rPr>
          <w:rFonts w:hint="eastAsia" w:ascii="仿宋_GB2312" w:hAnsi="仿宋_GB2312" w:eastAsia="仿宋_GB2312" w:cs="仿宋_GB2312"/>
          <w:snapToGrid w:val="0"/>
          <w:color w:val="auto"/>
          <w:sz w:val="32"/>
          <w:szCs w:val="32"/>
          <w:highlight w:val="none"/>
          <w:lang w:val="en-US" w:eastAsia="zh-CN" w:bidi="ar-SA"/>
        </w:rPr>
      </w:pPr>
      <w:r>
        <w:rPr>
          <w:rFonts w:hint="eastAsia" w:ascii="仿宋_GB2312" w:hAnsi="仿宋_GB2312" w:eastAsia="仿宋_GB2312" w:cs="仿宋_GB2312"/>
          <w:snapToGrid w:val="0"/>
          <w:color w:val="auto"/>
          <w:sz w:val="32"/>
          <w:szCs w:val="32"/>
          <w:highlight w:val="none"/>
          <w:lang w:val="en-US" w:eastAsia="zh-CN" w:bidi="ar-SA"/>
        </w:rPr>
        <w:t xml:space="preserve">                    南昌县八月湖街道办事处</w:t>
      </w:r>
    </w:p>
    <w:p>
      <w:pPr>
        <w:keepNext w:val="0"/>
        <w:keepLines w:val="0"/>
        <w:pageBreakBefore w:val="0"/>
        <w:widowControl w:val="0"/>
        <w:tabs>
          <w:tab w:val="left" w:pos="1442"/>
        </w:tabs>
        <w:kinsoku/>
        <w:wordWrap/>
        <w:overflowPunct/>
        <w:topLinePunct w:val="0"/>
        <w:autoSpaceDE w:val="0"/>
        <w:autoSpaceDN w:val="0"/>
        <w:bidi w:val="0"/>
        <w:adjustRightInd/>
        <w:snapToGrid w:val="0"/>
        <w:spacing w:line="560" w:lineRule="exact"/>
        <w:ind w:left="1386" w:leftChars="200" w:hanging="966" w:hangingChars="302"/>
        <w:jc w:val="center"/>
        <w:textAlignment w:val="auto"/>
        <w:rPr>
          <w:rFonts w:hint="default" w:ascii="仿宋_GB2312" w:hAnsi="仿宋_GB2312" w:eastAsia="仿宋_GB2312" w:cs="仿宋_GB2312"/>
          <w:snapToGrid w:val="0"/>
          <w:color w:val="auto"/>
          <w:sz w:val="32"/>
          <w:szCs w:val="32"/>
          <w:highlight w:val="none"/>
          <w:lang w:val="en-US" w:eastAsia="zh-CN" w:bidi="ar-SA"/>
        </w:rPr>
      </w:pPr>
      <w:r>
        <w:rPr>
          <w:rFonts w:hint="eastAsia" w:ascii="仿宋_GB2312" w:hAnsi="仿宋_GB2312" w:eastAsia="仿宋_GB2312" w:cs="仿宋_GB2312"/>
          <w:snapToGrid w:val="0"/>
          <w:color w:val="auto"/>
          <w:sz w:val="32"/>
          <w:szCs w:val="32"/>
          <w:highlight w:val="none"/>
          <w:lang w:val="en-US" w:eastAsia="zh-CN" w:bidi="ar-SA"/>
        </w:rPr>
        <w:t xml:space="preserve">                    2024年7月1日</w:t>
      </w:r>
    </w:p>
    <w:p>
      <w:pPr>
        <w:pStyle w:val="9"/>
        <w:keepNext w:val="0"/>
        <w:keepLines w:val="0"/>
        <w:pageBreakBefore w:val="0"/>
        <w:widowControl w:val="0"/>
        <w:kinsoku/>
        <w:wordWrap/>
        <w:overflowPunct/>
        <w:topLinePunct w:val="0"/>
        <w:bidi w:val="0"/>
        <w:adjustRightInd/>
        <w:snapToGrid w:val="0"/>
        <w:spacing w:line="560" w:lineRule="exact"/>
        <w:textAlignment w:val="auto"/>
        <w:rPr>
          <w:rFonts w:hint="eastAsia" w:ascii="方正小标宋简体" w:hAnsi="方正小标宋简体" w:eastAsia="方正小标宋简体" w:cs="方正小标宋简体"/>
          <w:sz w:val="44"/>
          <w:szCs w:val="44"/>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jc w:val="left"/>
        <w:rPr>
          <w:rFonts w:hint="eastAsia" w:ascii="仿宋_GB2312" w:hAnsi="仿宋_GB2312" w:eastAsia="仿宋_GB2312" w:cs="仿宋_GB2312"/>
          <w:b/>
          <w:bCs/>
          <w:sz w:val="32"/>
          <w:szCs w:val="32"/>
          <w:lang w:val="en-US" w:eastAsia="zh-CN"/>
        </w:rPr>
      </w:pPr>
    </w:p>
    <w:p>
      <w:pPr>
        <w:pStyle w:val="2"/>
        <w:rPr>
          <w:rFonts w:hint="eastAsia"/>
          <w:lang w:val="en-US" w:eastAsia="zh-CN"/>
        </w:rPr>
      </w:pPr>
    </w:p>
    <w:p>
      <w:pPr>
        <w:jc w:val="left"/>
        <w:rPr>
          <w:rFonts w:hint="eastAsia" w:ascii="仿宋_GB2312" w:hAnsi="仿宋_GB2312" w:eastAsia="仿宋_GB2312" w:cs="仿宋_GB2312"/>
          <w:b/>
          <w:bCs/>
          <w:sz w:val="32"/>
          <w:szCs w:val="32"/>
          <w:lang w:val="en-US" w:eastAsia="zh-CN"/>
        </w:rPr>
      </w:pPr>
    </w:p>
    <w:p>
      <w:pPr>
        <w:pStyle w:val="2"/>
        <w:rPr>
          <w:rFonts w:hint="eastAsia" w:ascii="仿宋_GB2312" w:hAnsi="仿宋_GB2312" w:eastAsia="仿宋_GB2312" w:cs="仿宋_GB2312"/>
          <w:b/>
          <w:bCs/>
          <w:sz w:val="32"/>
          <w:szCs w:val="32"/>
          <w:lang w:val="en-US" w:eastAsia="zh-CN"/>
        </w:rPr>
      </w:pPr>
    </w:p>
    <w:p>
      <w:pPr>
        <w:rPr>
          <w:rFonts w:hint="eastAsia"/>
          <w:lang w:val="en-US" w:eastAsia="zh-CN"/>
        </w:rPr>
      </w:pPr>
    </w:p>
    <w:p>
      <w:pPr>
        <w:jc w:val="left"/>
        <w:rPr>
          <w:rFonts w:hint="eastAsia" w:ascii="仿宋_GB2312" w:hAnsi="仿宋_GB2312" w:eastAsia="仿宋_GB2312" w:cs="仿宋_GB2312"/>
          <w:b/>
          <w:bCs/>
          <w:sz w:val="32"/>
          <w:szCs w:val="32"/>
          <w:lang w:val="en-US" w:eastAsia="zh-CN"/>
        </w:rPr>
      </w:pPr>
    </w:p>
    <w:tbl>
      <w:tblPr>
        <w:tblStyle w:val="10"/>
        <w:tblpPr w:leftFromText="180" w:rightFromText="180" w:vertAnchor="text" w:horzAnchor="page" w:tblpX="1623" w:tblpY="32"/>
        <w:tblOverlap w:val="never"/>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060" w:type="dxa"/>
            <w:noWrap w:val="0"/>
            <w:vAlign w:val="center"/>
          </w:tcPr>
          <w:p>
            <w:pPr>
              <w:keepNext w:val="0"/>
              <w:keepLines w:val="0"/>
              <w:pageBreakBefore w:val="0"/>
              <w:widowControl w:val="0"/>
              <w:kinsoku/>
              <w:wordWrap/>
              <w:overflowPunct/>
              <w:topLinePunct w:val="0"/>
              <w:autoSpaceDE/>
              <w:autoSpaceDN/>
              <w:bidi w:val="0"/>
              <w:adjustRightInd w:val="0"/>
              <w:snapToGrid/>
              <w:ind w:firstLine="140" w:firstLineChars="50"/>
              <w:textAlignment w:val="baseline"/>
              <w:rPr>
                <w:rFonts w:hint="eastAsia" w:ascii="仿宋_GB2312" w:hAnsi="仿宋_GB2312" w:eastAsia="仿宋_GB2312" w:cs="仿宋_GB2312"/>
                <w:kern w:val="0"/>
                <w:position w:val="6"/>
                <w:sz w:val="28"/>
                <w:szCs w:val="28"/>
              </w:rPr>
            </w:pPr>
            <w:r>
              <w:rPr>
                <w:rFonts w:hint="eastAsia" w:ascii="仿宋_GB2312" w:hAnsi="仿宋_GB2312" w:eastAsia="仿宋_GB2312" w:cs="仿宋_GB2312"/>
                <w:kern w:val="0"/>
                <w:position w:val="6"/>
                <w:sz w:val="28"/>
                <w:szCs w:val="28"/>
                <w:lang w:val="en-US" w:eastAsia="zh-CN"/>
              </w:rPr>
              <w:t>八月湖街道党政</w:t>
            </w:r>
            <w:r>
              <w:rPr>
                <w:rFonts w:hint="eastAsia" w:ascii="仿宋_GB2312" w:hAnsi="仿宋_GB2312" w:eastAsia="仿宋_GB2312" w:cs="仿宋_GB2312"/>
                <w:kern w:val="0"/>
                <w:position w:val="6"/>
                <w:sz w:val="28"/>
                <w:szCs w:val="28"/>
              </w:rPr>
              <w:t xml:space="preserve">办公室             </w:t>
            </w:r>
            <w:r>
              <w:rPr>
                <w:rFonts w:hint="eastAsia" w:ascii="仿宋_GB2312" w:hAnsi="仿宋_GB2312" w:eastAsia="仿宋_GB2312" w:cs="仿宋_GB2312"/>
                <w:kern w:val="0"/>
                <w:position w:val="6"/>
                <w:sz w:val="28"/>
                <w:szCs w:val="28"/>
                <w:lang w:val="en-US" w:eastAsia="zh-CN"/>
              </w:rPr>
              <w:t xml:space="preserve">         </w:t>
            </w:r>
            <w:r>
              <w:rPr>
                <w:rFonts w:hint="eastAsia" w:ascii="仿宋_GB2312" w:hAnsi="仿宋_GB2312" w:eastAsia="仿宋_GB2312" w:cs="仿宋_GB2312"/>
                <w:kern w:val="0"/>
                <w:position w:val="6"/>
                <w:sz w:val="28"/>
                <w:szCs w:val="28"/>
              </w:rPr>
              <w:t>202</w:t>
            </w:r>
            <w:r>
              <w:rPr>
                <w:rFonts w:hint="eastAsia" w:ascii="仿宋_GB2312" w:hAnsi="仿宋_GB2312" w:cs="仿宋_GB2312"/>
                <w:kern w:val="0"/>
                <w:position w:val="6"/>
                <w:sz w:val="28"/>
                <w:szCs w:val="28"/>
                <w:lang w:val="en-US" w:eastAsia="zh-CN"/>
              </w:rPr>
              <w:t>4</w:t>
            </w:r>
            <w:r>
              <w:rPr>
                <w:rFonts w:hint="eastAsia" w:ascii="仿宋_GB2312" w:hAnsi="仿宋_GB2312" w:eastAsia="仿宋_GB2312" w:cs="仿宋_GB2312"/>
                <w:kern w:val="0"/>
                <w:position w:val="6"/>
                <w:sz w:val="28"/>
                <w:szCs w:val="28"/>
              </w:rPr>
              <w:t>年</w:t>
            </w:r>
            <w:r>
              <w:rPr>
                <w:rFonts w:hint="eastAsia" w:ascii="仿宋_GB2312" w:hAnsi="仿宋_GB2312" w:eastAsia="仿宋_GB2312" w:cs="仿宋_GB2312"/>
                <w:kern w:val="0"/>
                <w:position w:val="6"/>
                <w:sz w:val="28"/>
                <w:szCs w:val="28"/>
                <w:lang w:val="en-US" w:eastAsia="zh-CN"/>
              </w:rPr>
              <w:t>7</w:t>
            </w:r>
            <w:r>
              <w:rPr>
                <w:rFonts w:hint="eastAsia" w:ascii="仿宋_GB2312" w:hAnsi="仿宋_GB2312" w:eastAsia="仿宋_GB2312" w:cs="仿宋_GB2312"/>
                <w:kern w:val="0"/>
                <w:position w:val="6"/>
                <w:sz w:val="28"/>
                <w:szCs w:val="28"/>
              </w:rPr>
              <w:t>月</w:t>
            </w:r>
            <w:r>
              <w:rPr>
                <w:rFonts w:hint="eastAsia" w:ascii="仿宋_GB2312" w:hAnsi="仿宋_GB2312" w:cs="仿宋_GB2312"/>
                <w:kern w:val="0"/>
                <w:position w:val="6"/>
                <w:sz w:val="28"/>
                <w:szCs w:val="28"/>
                <w:lang w:val="en-US" w:eastAsia="zh-CN"/>
              </w:rPr>
              <w:t>1</w:t>
            </w:r>
            <w:r>
              <w:rPr>
                <w:rFonts w:hint="eastAsia" w:ascii="仿宋_GB2312" w:hAnsi="仿宋_GB2312" w:eastAsia="仿宋_GB2312" w:cs="仿宋_GB2312"/>
                <w:kern w:val="0"/>
                <w:position w:val="6"/>
                <w:sz w:val="28"/>
                <w:szCs w:val="28"/>
              </w:rPr>
              <w:t xml:space="preserve">日印发  </w:t>
            </w:r>
          </w:p>
        </w:tc>
      </w:tr>
    </w:tbl>
    <w:p>
      <w:pPr>
        <w:jc w:val="left"/>
        <w:rPr>
          <w:rFonts w:hint="eastAsia" w:ascii="仿宋_GB2312" w:hAnsi="仿宋_GB2312" w:eastAsia="仿宋_GB2312" w:cs="仿宋_GB2312"/>
          <w:b/>
          <w:bCs/>
          <w:sz w:val="28"/>
          <w:szCs w:val="28"/>
          <w:lang w:val="en-US" w:eastAsia="zh-CN"/>
        </w:rPr>
      </w:pPr>
      <w:r>
        <w:rPr>
          <w:rFonts w:hint="eastAsia" w:ascii="黑体" w:hAnsi="黑体" w:eastAsia="黑体" w:cs="黑体"/>
          <w:b w:val="0"/>
          <w:bCs w:val="0"/>
          <w:sz w:val="28"/>
          <w:szCs w:val="28"/>
          <w:lang w:val="en-US" w:eastAsia="zh-CN"/>
        </w:rPr>
        <w:t>附件：</w:t>
      </w:r>
    </w:p>
    <w:p>
      <w:pPr>
        <w:pStyle w:val="9"/>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南昌县八月湖街道承接县级审批服务执法权限目录（84项）</w:t>
      </w:r>
    </w:p>
    <w:tbl>
      <w:tblPr>
        <w:tblStyle w:val="10"/>
        <w:tblpPr w:leftFromText="180" w:rightFromText="180" w:vertAnchor="text" w:horzAnchor="page" w:tblpX="1570" w:tblpY="379"/>
        <w:tblOverlap w:val="never"/>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600"/>
        <w:gridCol w:w="2820"/>
        <w:gridCol w:w="2325"/>
        <w:gridCol w:w="1110"/>
        <w:gridCol w:w="1590"/>
        <w:gridCol w:w="7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序号</w:t>
            </w:r>
          </w:p>
        </w:tc>
        <w:tc>
          <w:tcPr>
            <w:tcW w:w="282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赋权事项名称</w:t>
            </w:r>
          </w:p>
        </w:tc>
        <w:tc>
          <w:tcPr>
            <w:tcW w:w="232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原实施机关</w:t>
            </w:r>
          </w:p>
        </w:tc>
        <w:tc>
          <w:tcPr>
            <w:tcW w:w="111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事项类型</w:t>
            </w:r>
          </w:p>
        </w:tc>
        <w:tc>
          <w:tcPr>
            <w:tcW w:w="159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承接部门</w:t>
            </w:r>
          </w:p>
        </w:tc>
        <w:tc>
          <w:tcPr>
            <w:tcW w:w="73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在街道两侧和公共场地临时堆放物料、搭建非永久性建筑、构筑物或其他设施审批</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行政许可</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设立大型户外广告及在城市建筑物、设施上张挂、张贴宣传品审批</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行政许可</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城市建筑垃圾处置核准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行政许可</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未经注册登记，擅自招收幼儿的处罚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县级人民政府教育行政部门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对机动车驾驶人在人行道上乱停乱放机动车行为的处罚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县级人民政府公安机关交通管理部门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建设单位或者个人未经批准进行临时建设、未按照批准内容进行临时建设、临时建筑物、构筑物超过批准期限不拆除的处罚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县级人民政府城乡规划主管部门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违反规定露天焚烧秸秆的处罚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县级人民政府生态环境保护主管部门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对违反规定贮存、堆放、弃置、倾侧、排放污染物、废弃物的处罚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县级人民政府生态环境保护主管部门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对业主、物业使用人违法搭建建筑物、构筑物的处罚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县级人民政府住房城乡建设主管部门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对业主、物业使用人破坏或者擅自改变房屋外观的处罚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县级人民政府住房城乡建设主管部门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未经城市规划行政主管部门批准，在住宅室内装饰装修活动中搭建建筑物、构筑物的，或者擅自改变住宅外立面、在非承重外墙上开门、窗的处罚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县级人民政府城市管理部门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在电线杆、树木、住宅楼道上以及其他未经批准的场所书写、刻画、张贴户外广告的处罚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未经批准擅自在街道两侧和公共场地堆放物料、搭建建筑物、构筑物或者其他设施，影响市容的处罚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饮食服务业的经营者未采取有效污染防治措施，致使排放的油烟对附近居民的居住环境造成污染的处罚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户外广告、标语牌、画廊、橱窗等的使用或管理者未定期维修、油饰或拆除并影响市容的处罚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建筑垃圾储运消纳场受纳工业垃圾、生活垃圾和有毒有害垃圾的处罚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未经批准擅自饲养家畜家禽影响市容和环境卫生的处罚（此项权力仅赋予街道）</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施工单位未及时清运工程施工过程中产生的建筑垃圾造成环境污染的处罚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随意倾倒、抛撒或者堆放建筑垃圾的处罚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随意倾倒、抛洒、堆放城市生活垃圾的处罚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未经批准擅自拆除环境卫生设施或者未按批准的拆迁方案进行拆迁的处罚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损坏各类环境卫生设施及其附属设施的处罚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将建筑垃圾混入生活垃圾的处罚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环境卫生专业队伍收取费用后未履行或不完全履行合同的处罚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环境卫生专业队伍不按规定时间清扫保洁街道、清运垃圾粪便的处罚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处置建筑垃圾的单位在运输建筑垃圾过程中沿途丢弃、遗撒建筑垃圾的处罚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对未经核准擅自处置建筑垃圾或处置超出核准范围的建筑垃圾的单位的处罚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不履行卫生责任区清扫保洁义务或者不按规定清运、处理垃圾和粪便的处罚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不按规定的时间、地点、方式，倾倒垃圾、粪便的处罚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随地吐痰、便溺，乱扔果皮、纸屑和烟头等废弃物的处罚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乱扔动物尸体的处罚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运输液体、散装货物不作密封、包扎、覆盖，造成泄露、遗撒的处罚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擅自设置大型户外广告影响市容的处罚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厕所、化粪池、下水道冒溢，不及时处理的处罚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对在公厕内乱丢垃圾、污物，随地吐痰，乱涂乱画，破坏公厕设施、设备，未经批准擅自占用或者改变公厕使用性质的处罚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单位和个人未按规定缴纳城市生活垃圾处理费的处罚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县级人民政府城市管理（环境卫生）主管部门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未按照所在地建设（环境卫生）主管部门规定的时间和要求接收生活垃圾的处罚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县级人民政府城市管理（环境卫生）主管部门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对擅自砍伐，迁移古树名木或者因养护不善致使古树名木受到损伤或者死亡的处罚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县级人民政府城市绿化行政主管部门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对攀、摘树枝、花果，在树上剥皮等损坏公共绿地和园林设施行为的处罚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县级人民政府城市绿化行政主管部门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临时摊点经营者未在规定的临时设摊经营区域和时段内设摊经营，未及时清理经营产生的垃圾，保持地面清洁的处罚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县级城市人民政府市容环境卫生行政主管部门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拒不缴纳、拖延缴纳或者拖欠水资源费的处罚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县级人民政府水行政主管部门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对动物、动物产品的运载工具在装载前和卸载后没有及时清洗、消毒的处罚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县级人民政府动物卫生监督机构</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权限内娱乐场所未在显著位置悬挂警示标志、未成年人禁入或者限入标志的处罚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县级人民政府文化主管部门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对未依法取得公共场所卫生许可证擅自营业的处罚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对公共场所经营者未按照规定配备使用预防控制鼠、蚊、蝇、蟑螂和其他病媒生物的设施设备以及废弃物存放专用设施设备的处罚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对公共场所经营者安排未获得有效健康合格证明的从业人员从事直接为顾客服务工作的处罚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对拒绝或者妨碍卫生监督员实施学校卫生监督的处罚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对公共场所经营者未按照规定对顾客用品用具进行清洗、消毒、保洁或者重复使用一次性用品用具的处罚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采取虚报、隐瞒、伪造等手段，骗取自然灾害救助款物或者捐赠款物的处罚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县级人民政府应急管理部门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生产经营单位主要负责人未履行安全生产管理职责的处罚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县级人民政府应急管理部门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生产经营单位其他负责人和安全生产管理人员未履行安全生产管理职责的处罚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县级人民政府应急管理部门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责令停止抢夺或者聚众哄抢自然灾害救助款物或者捐赠款物的违法行为</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县级人民政府应急管理部门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对盗伐林木的处罚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县级人民政府林业主管部门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对滥伐林木的处罚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县级人民政府林业主管部门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擅自移动或者毁坏生态公益林保护标志牌的处罚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县级人民政府林业主管部门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擅自移动或者破坏古树名木保护牌的处罚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县级人民政府林业、城市绿化行政主管部门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对致使森林、林木受到毁坏的开垦、采石、采砂、采土等违法活动的处罚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县级人民政府林业主管部门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未依法将营业执照置于住所或者主要经营场所醒目位置的处罚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县级人民政府市场监督管理部门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食品小摊贩未取得备案卡从事食品经营活动的处罚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县级人民政府市场监督管理部门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在广播电视传输线路保护范围内堆放笨重物品，在天线场地敷设或者在架空传输线路上附挂电力、通信线路的处罚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县级人民政府广播电视行政管理部门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在广播电视设施保护范围内种植树木、农作物，堆放金属物品、易燃易爆物品或者设置金属构件、倾倒腐蚀性物品，钻探、打桩、抛锚、拖锚、挖沙、取土，拴系牲畜、悬挂物品、攀附农作物的处罚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县级人民政府广播电视行政管理部门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行政执法办/公共服务办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对占用、堵塞、封闭消防车通道，妨碍消防车通行的处罚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县级消防救援机构</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对个人在疏散通道、安全出口、楼梯间停放电动自行车或者给电动自行车充电的处罚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县级消防救援机构</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对未采取防范措施在野外焚烧杂草、垃圾等可燃物的处罚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县级消防救援机构</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行政处罚</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社会治理办/行政执法办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法律援助申请受理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县级人民政府司法部门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行政给付</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司法所</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独生子女父母光荣证办理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县级人民政府卫生健康行政主管部门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行政确认</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924"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城市房屋出租或者转租登记备案审查和终止、解除房屋租赁登记备案</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县级人民政府建设（房地产）主管部门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其他行政权力-备案</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最低生活保障对象认定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县级人民政府民政部门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特困人员对象认定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县级人民政府民政部门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家庭经济困难残疾学生及残疾人子女认定</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县级人民政府民政、乡村振兴、退役军人事务部门，县级残联</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b w:val="0"/>
                <w:bCs w:val="0"/>
                <w:i w:val="0"/>
                <w:iCs w:val="0"/>
                <w:color w:val="auto"/>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80岁高龄老人补贴申请受理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县级人民政府民政部门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城乡居民养老保险待遇申领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县级人民政府人力资源社会保障部门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退休人员养老保险待遇领取资格确认</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县级人民政府人力资源社会保障部门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就业困难人员社保补贴申领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县级人民政府人力资源社会保障部门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75</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社会保障卡申领、补领、换领、换发</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县级人民政府人力资源社会保障部门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76</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部分农村籍退役士兵老年生活补助的发放（材料甄别、资格核查）</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县级人民政府退役军人事务管理部门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77</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烈士遗属、因公牺牲军人遗属、病故军人遗属定期抚恤金的给付（材料甄别、资格核查）</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县级人民政府退役军人事务管理部门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78</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伤残人员抚恤待遇发放（材料甄别、资格核查）</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县级人民政府退役军人事务管理部门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eastAsia="zh-CN"/>
              </w:rPr>
            </w:pPr>
            <w:r>
              <w:rPr>
                <w:rFonts w:hint="eastAsia" w:asciiTheme="minorEastAsia" w:hAnsiTheme="minorEastAsia" w:eastAsiaTheme="minorEastAsia" w:cstheme="minorEastAsia"/>
                <w:i w:val="0"/>
                <w:iCs w:val="0"/>
                <w:color w:val="000000"/>
                <w:sz w:val="22"/>
                <w:szCs w:val="22"/>
                <w:u w:val="none"/>
                <w:lang w:val="en-US" w:eastAsia="zh-CN"/>
              </w:rPr>
              <w:t>79</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带病回乡退伍军人生活补助（材料收集、资格核查）</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县级人民政府退役军人事务部门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社会治理办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80</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基本医疗保险参保人员享受门诊慢性病种待遇认定（材料收集）</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县级人民政府医疗保障主管部门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81</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基本医疗保险参保人员手工零星报销（材料收集、登记录入）</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县级人民政府医疗保障主管部门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82</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城乡居民基本医疗保险参保登记（含注销登记）</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县级人民政府医疗保障主管部门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83</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城乡居民基本医疗保险参保信息变更登记</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县级人民政府医疗保障主管部门</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0" w:hRule="atLeast"/>
        </w:trPr>
        <w:tc>
          <w:tcPr>
            <w:tcW w:w="60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84</w:t>
            </w:r>
          </w:p>
        </w:tc>
        <w:tc>
          <w:tcPr>
            <w:tcW w:w="2820" w:type="dxa"/>
            <w:tcBorders>
              <w:tl2br w:val="nil"/>
              <w:tr2bl w:val="nil"/>
            </w:tcBorders>
            <w:shd w:val="clear" w:color="auto" w:fill="FFFFFF"/>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遗失补办残疾人证</w:t>
            </w:r>
          </w:p>
        </w:tc>
        <w:tc>
          <w:tcPr>
            <w:tcW w:w="2325" w:type="dxa"/>
            <w:tcBorders>
              <w:tl2br w:val="nil"/>
              <w:tr2bl w:val="nil"/>
            </w:tcBorders>
            <w:shd w:val="clear" w:color="auto" w:fill="FFFFFF"/>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县级残联</w:t>
            </w:r>
          </w:p>
        </w:tc>
        <w:tc>
          <w:tcPr>
            <w:tcW w:w="111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w:t>
            </w:r>
          </w:p>
        </w:tc>
        <w:tc>
          <w:tcPr>
            <w:tcW w:w="1590"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公共服务办</w:t>
            </w:r>
          </w:p>
        </w:tc>
        <w:tc>
          <w:tcPr>
            <w:tcW w:w="735"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p>
        </w:tc>
      </w:tr>
    </w:tbl>
    <w:p>
      <w:pPr>
        <w:pStyle w:val="9"/>
        <w:jc w:val="center"/>
        <w:rPr>
          <w:rFonts w:hint="eastAsia" w:ascii="仿宋_GB2312" w:hAnsi="仿宋_GB2312" w:eastAsia="仿宋_GB2312" w:cs="仿宋_GB2312"/>
          <w:sz w:val="32"/>
          <w:szCs w:val="32"/>
          <w:lang w:val="en-US" w:eastAsia="zh-CN"/>
        </w:rPr>
      </w:pPr>
    </w:p>
    <w:p>
      <w:pPr>
        <w:pStyle w:val="9"/>
        <w:jc w:val="center"/>
        <w:rPr>
          <w:rFonts w:hint="default" w:ascii="仿宋_GB2312" w:hAnsi="仿宋_GB2312" w:eastAsia="仿宋_GB2312" w:cs="仿宋_GB2312"/>
          <w:sz w:val="24"/>
          <w:szCs w:val="24"/>
          <w:lang w:val="en-US" w:eastAsia="zh-CN"/>
        </w:rPr>
      </w:pP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hNDAzYjQ4MzJhOWQ3NmQ4MzVhMmI4NjlkMDRiNWYifQ=="/>
  </w:docVars>
  <w:rsids>
    <w:rsidRoot w:val="00896DB7"/>
    <w:rsid w:val="00036EAE"/>
    <w:rsid w:val="001D739B"/>
    <w:rsid w:val="001D7D62"/>
    <w:rsid w:val="00592B07"/>
    <w:rsid w:val="006551CD"/>
    <w:rsid w:val="00830FD8"/>
    <w:rsid w:val="00896DB7"/>
    <w:rsid w:val="008B1C1C"/>
    <w:rsid w:val="00944A59"/>
    <w:rsid w:val="00BE2D61"/>
    <w:rsid w:val="00C11035"/>
    <w:rsid w:val="00CB1CB5"/>
    <w:rsid w:val="00D576A1"/>
    <w:rsid w:val="00F509F8"/>
    <w:rsid w:val="00FD22AD"/>
    <w:rsid w:val="012B4701"/>
    <w:rsid w:val="02C31095"/>
    <w:rsid w:val="033B6E7D"/>
    <w:rsid w:val="04561A95"/>
    <w:rsid w:val="05665D07"/>
    <w:rsid w:val="05B178CA"/>
    <w:rsid w:val="05BC001D"/>
    <w:rsid w:val="084B123E"/>
    <w:rsid w:val="0AB87DA1"/>
    <w:rsid w:val="0BB8447D"/>
    <w:rsid w:val="0BFC1173"/>
    <w:rsid w:val="0C6D3CB7"/>
    <w:rsid w:val="0D935B07"/>
    <w:rsid w:val="0D991370"/>
    <w:rsid w:val="0E1C3731"/>
    <w:rsid w:val="0E460DCC"/>
    <w:rsid w:val="0EFD1946"/>
    <w:rsid w:val="10C77311"/>
    <w:rsid w:val="11595057"/>
    <w:rsid w:val="14773EFC"/>
    <w:rsid w:val="147F0B94"/>
    <w:rsid w:val="1618304E"/>
    <w:rsid w:val="161D5DA7"/>
    <w:rsid w:val="16506C43"/>
    <w:rsid w:val="16B43CD1"/>
    <w:rsid w:val="18B76B4E"/>
    <w:rsid w:val="19E17F60"/>
    <w:rsid w:val="1A255D39"/>
    <w:rsid w:val="1A293A7B"/>
    <w:rsid w:val="1B485552"/>
    <w:rsid w:val="1C362480"/>
    <w:rsid w:val="1C6F7740"/>
    <w:rsid w:val="1E380731"/>
    <w:rsid w:val="21643F5F"/>
    <w:rsid w:val="21FC199D"/>
    <w:rsid w:val="22400EBD"/>
    <w:rsid w:val="229B4DEB"/>
    <w:rsid w:val="22C72083"/>
    <w:rsid w:val="22D233F8"/>
    <w:rsid w:val="231F3C6E"/>
    <w:rsid w:val="23211167"/>
    <w:rsid w:val="2503311B"/>
    <w:rsid w:val="259D531E"/>
    <w:rsid w:val="25F01A80"/>
    <w:rsid w:val="25F47B8B"/>
    <w:rsid w:val="269F1FF9"/>
    <w:rsid w:val="26B47BF0"/>
    <w:rsid w:val="28A933AF"/>
    <w:rsid w:val="2A16459C"/>
    <w:rsid w:val="2B013C59"/>
    <w:rsid w:val="2C11436F"/>
    <w:rsid w:val="2D960FD0"/>
    <w:rsid w:val="2D9925B9"/>
    <w:rsid w:val="2E36630F"/>
    <w:rsid w:val="2E7F4F87"/>
    <w:rsid w:val="2E953036"/>
    <w:rsid w:val="2E9A064C"/>
    <w:rsid w:val="2F260132"/>
    <w:rsid w:val="31E56082"/>
    <w:rsid w:val="31F97D80"/>
    <w:rsid w:val="32AB5D01"/>
    <w:rsid w:val="33550FE6"/>
    <w:rsid w:val="33CB11E4"/>
    <w:rsid w:val="34E3457E"/>
    <w:rsid w:val="35210AE7"/>
    <w:rsid w:val="357A1680"/>
    <w:rsid w:val="35EB5C31"/>
    <w:rsid w:val="35F248A6"/>
    <w:rsid w:val="36D8416F"/>
    <w:rsid w:val="372A73A8"/>
    <w:rsid w:val="375720DA"/>
    <w:rsid w:val="376E43E1"/>
    <w:rsid w:val="37A56EC6"/>
    <w:rsid w:val="37FE17B1"/>
    <w:rsid w:val="38A21F1B"/>
    <w:rsid w:val="39974106"/>
    <w:rsid w:val="3A435984"/>
    <w:rsid w:val="3A726921"/>
    <w:rsid w:val="3A8D375B"/>
    <w:rsid w:val="3B0B6E7C"/>
    <w:rsid w:val="3C552056"/>
    <w:rsid w:val="3E077EC2"/>
    <w:rsid w:val="3FFB4CC3"/>
    <w:rsid w:val="4012731D"/>
    <w:rsid w:val="40B732E0"/>
    <w:rsid w:val="41084494"/>
    <w:rsid w:val="421A3D2C"/>
    <w:rsid w:val="44971172"/>
    <w:rsid w:val="454C786C"/>
    <w:rsid w:val="45FC498F"/>
    <w:rsid w:val="47376913"/>
    <w:rsid w:val="48547666"/>
    <w:rsid w:val="494C33DF"/>
    <w:rsid w:val="49997A26"/>
    <w:rsid w:val="4B661B8A"/>
    <w:rsid w:val="4B673458"/>
    <w:rsid w:val="4B9F17BE"/>
    <w:rsid w:val="4BA91A77"/>
    <w:rsid w:val="50FE0AB7"/>
    <w:rsid w:val="522E5CE2"/>
    <w:rsid w:val="534F73A8"/>
    <w:rsid w:val="56534DCA"/>
    <w:rsid w:val="56D742C6"/>
    <w:rsid w:val="57092F4E"/>
    <w:rsid w:val="5A2A0665"/>
    <w:rsid w:val="5B48305A"/>
    <w:rsid w:val="5B6A3112"/>
    <w:rsid w:val="5BE76C25"/>
    <w:rsid w:val="5CF07506"/>
    <w:rsid w:val="5D4E2D56"/>
    <w:rsid w:val="5E670134"/>
    <w:rsid w:val="5EAD52D1"/>
    <w:rsid w:val="5EF23899"/>
    <w:rsid w:val="5F426012"/>
    <w:rsid w:val="62B114E5"/>
    <w:rsid w:val="62CF7BBD"/>
    <w:rsid w:val="62E64907"/>
    <w:rsid w:val="632A023E"/>
    <w:rsid w:val="635A7DCF"/>
    <w:rsid w:val="63E94A8E"/>
    <w:rsid w:val="641E4B70"/>
    <w:rsid w:val="64E060B2"/>
    <w:rsid w:val="65B4446B"/>
    <w:rsid w:val="665E7BD6"/>
    <w:rsid w:val="66C11F13"/>
    <w:rsid w:val="687E630D"/>
    <w:rsid w:val="69032982"/>
    <w:rsid w:val="691B590A"/>
    <w:rsid w:val="69FA5E67"/>
    <w:rsid w:val="6D42270A"/>
    <w:rsid w:val="6D7F5DB1"/>
    <w:rsid w:val="6F6C3363"/>
    <w:rsid w:val="6FD25527"/>
    <w:rsid w:val="6FDB2297"/>
    <w:rsid w:val="70744BA6"/>
    <w:rsid w:val="70A1528F"/>
    <w:rsid w:val="75774810"/>
    <w:rsid w:val="76650B0D"/>
    <w:rsid w:val="76C27D0D"/>
    <w:rsid w:val="76CB75B6"/>
    <w:rsid w:val="7999464A"/>
    <w:rsid w:val="79DD0D96"/>
    <w:rsid w:val="79F04B91"/>
    <w:rsid w:val="7C4411C4"/>
    <w:rsid w:val="7CD97B5E"/>
    <w:rsid w:val="7E123B46"/>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0"/>
      <w:ind w:left="0" w:leftChars="0" w:firstLine="420" w:firstLineChars="200"/>
    </w:pPr>
    <w:rPr>
      <w:sz w:val="28"/>
    </w:rPr>
  </w:style>
  <w:style w:type="paragraph" w:styleId="3">
    <w:name w:val="Body Text Indent"/>
    <w:basedOn w:val="1"/>
    <w:next w:val="4"/>
    <w:qFormat/>
    <w:uiPriority w:val="0"/>
    <w:pPr>
      <w:spacing w:after="120"/>
      <w:ind w:left="420" w:leftChars="200"/>
    </w:pPr>
  </w:style>
  <w:style w:type="paragraph" w:styleId="4">
    <w:name w:val="Body Text First Indent"/>
    <w:basedOn w:val="5"/>
    <w:next w:val="1"/>
    <w:qFormat/>
    <w:uiPriority w:val="0"/>
    <w:pPr>
      <w:ind w:firstLine="420" w:firstLineChars="100"/>
    </w:p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Normal Indent"/>
    <w:basedOn w:val="1"/>
    <w:next w:val="1"/>
    <w:qFormat/>
    <w:uiPriority w:val="0"/>
    <w:pPr>
      <w:ind w:firstLine="420" w:firstLineChars="200"/>
    </w:pPr>
    <w:rPr>
      <w:rFonts w:ascii="Calibri" w:hAnsi="Calibri" w:eastAsia="仿宋" w:cs="Times New Roman"/>
      <w:sz w:val="32"/>
      <w:szCs w:val="24"/>
    </w:r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pPr>
    <w:rPr>
      <w:sz w:val="18"/>
    </w:rPr>
  </w:style>
  <w:style w:type="character" w:customStyle="1" w:styleId="12">
    <w:name w:val="页眉 Char"/>
    <w:basedOn w:val="11"/>
    <w:link w:val="8"/>
    <w:qFormat/>
    <w:uiPriority w:val="0"/>
    <w:rPr>
      <w:rFonts w:ascii="Calibri" w:hAnsi="Calibri"/>
      <w:kern w:val="2"/>
      <w:sz w:val="18"/>
      <w:szCs w:val="18"/>
    </w:rPr>
  </w:style>
  <w:style w:type="character" w:customStyle="1" w:styleId="13">
    <w:name w:val="页脚 Char"/>
    <w:basedOn w:val="11"/>
    <w:link w:val="7"/>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5053</Words>
  <Characters>5145</Characters>
  <Lines>8</Lines>
  <Paragraphs>2</Paragraphs>
  <TotalTime>1</TotalTime>
  <ScaleCrop>false</ScaleCrop>
  <LinksUpToDate>false</LinksUpToDate>
  <CharactersWithSpaces>5202</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2020-04-08T07:13:00Z</dcterms:created>
  <dc:creator>yutgy</dc:creator>
  <cp:lastModifiedBy>Administrator</cp:lastModifiedBy>
  <cp:lastPrinted>2021-12-15T07:05:00Z</cp:lastPrinted>
  <dcterms:modified xsi:type="dcterms:W3CDTF">2024-07-08T02:32:34Z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5938AF64804B43E6B2C1B0B65B38A91C_13</vt:lpwstr>
  </property>
</Properties>
</file>